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5CACC" w14:textId="53308E1A" w:rsidR="00CA376E" w:rsidRDefault="00CA376E" w:rsidP="00CA376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104-e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8D6145">
        <w:rPr>
          <w:rFonts w:ascii="Arial" w:hAnsi="Arial" w:cs="Arial"/>
          <w:b/>
          <w:bCs/>
        </w:rPr>
        <w:t>1371</w:t>
      </w:r>
    </w:p>
    <w:p w14:paraId="49C683B7" w14:textId="75563995" w:rsidR="00136C56" w:rsidRPr="00145E5A" w:rsidRDefault="00CA376E" w:rsidP="00145E5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January 25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February 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02015827" w14:textId="77777777" w:rsidR="00145E5A" w:rsidRDefault="00145E5A" w:rsidP="00311702">
      <w:pPr>
        <w:pStyle w:val="3GPPHeader"/>
      </w:pPr>
    </w:p>
    <w:p w14:paraId="5FB7E722" w14:textId="072F7CE3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15</w:t>
      </w:r>
      <w:r w:rsidR="003A6BA7">
        <w:t>.</w:t>
      </w:r>
      <w:r w:rsidR="005F47C3">
        <w:t>4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40E43485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A8781E">
        <w:t>Discussion</w:t>
      </w:r>
      <w:r w:rsidR="001C2DED">
        <w:t xml:space="preserve"> on </w:t>
      </w:r>
      <w:r w:rsidR="005F47C3">
        <w:t>HARQ</w:t>
      </w:r>
      <w:r w:rsidR="00A8781E">
        <w:t xml:space="preserve"> Enhancement </w:t>
      </w:r>
      <w:r w:rsidR="00227C83">
        <w:t xml:space="preserve">in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CDA94EA" w14:textId="69685E9F" w:rsidR="00815CE8" w:rsidRDefault="00815CE8" w:rsidP="00815CE8">
      <w:pPr>
        <w:jc w:val="both"/>
      </w:pPr>
      <w:r>
        <w:t>The study item description of NB-IoT/</w:t>
      </w:r>
      <w:proofErr w:type="spellStart"/>
      <w:r>
        <w:t>eMTC</w:t>
      </w:r>
      <w:proofErr w:type="spellEnd"/>
      <w:r>
        <w:t xml:space="preserve"> support for NTN was provided in </w:t>
      </w:r>
      <w:r>
        <w:fldChar w:fldCharType="begin"/>
      </w:r>
      <w:r>
        <w:instrText xml:space="preserve"> REF _Ref46861923 \r \h </w:instrText>
      </w:r>
      <w:r>
        <w:fldChar w:fldCharType="separate"/>
      </w:r>
      <w:r>
        <w:t>[1]</w:t>
      </w:r>
      <w:r>
        <w:fldChar w:fldCharType="end"/>
      </w:r>
      <w:r>
        <w:t xml:space="preserve">. One objective of this study item is </w:t>
      </w:r>
      <w:r w:rsidR="00931816">
        <w:t>HARQ</w:t>
      </w:r>
      <w:r w:rsidR="00D47EF6">
        <w:t xml:space="preserve"> operation</w:t>
      </w:r>
      <w:r>
        <w:t>, where the conclusions of the studies performed for NR</w:t>
      </w:r>
      <w:r w:rsidR="00AD4007">
        <w:t xml:space="preserve"> over</w:t>
      </w:r>
      <w:r>
        <w:t xml:space="preserve"> NTN in </w:t>
      </w:r>
      <w:r>
        <w:fldChar w:fldCharType="begin"/>
      </w:r>
      <w:r>
        <w:instrText xml:space="preserve"> REF _Ref53646739 \r \h </w:instrText>
      </w:r>
      <w:r>
        <w:fldChar w:fldCharType="separate"/>
      </w:r>
      <w:r>
        <w:t>[2]</w:t>
      </w:r>
      <w:r>
        <w:fldChar w:fldCharType="end"/>
      </w:r>
      <w:r>
        <w:t xml:space="preserve"> should be reused as much as possible. </w:t>
      </w:r>
    </w:p>
    <w:p w14:paraId="27DDC513" w14:textId="77777777" w:rsidR="00BF2C61" w:rsidRPr="00E75532" w:rsidRDefault="00BF2C61" w:rsidP="00416D56">
      <w:pPr>
        <w:jc w:val="both"/>
        <w:rPr>
          <w:szCs w:val="20"/>
        </w:rPr>
      </w:pPr>
    </w:p>
    <w:p w14:paraId="05E5CF06" w14:textId="5D507FC9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9C0798" w:rsidRPr="003470D4">
        <w:rPr>
          <w:szCs w:val="20"/>
        </w:rPr>
        <w:t>the</w:t>
      </w:r>
      <w:r w:rsidR="00D47EF6">
        <w:rPr>
          <w:szCs w:val="20"/>
        </w:rPr>
        <w:t xml:space="preserve"> </w:t>
      </w:r>
      <w:r w:rsidR="009C0798" w:rsidRPr="003470D4">
        <w:rPr>
          <w:szCs w:val="20"/>
        </w:rPr>
        <w:t>topics of</w:t>
      </w:r>
      <w:r w:rsidR="00145E5A">
        <w:rPr>
          <w:szCs w:val="20"/>
        </w:rPr>
        <w:t xml:space="preserve"> </w:t>
      </w:r>
      <w:r w:rsidR="00931816">
        <w:rPr>
          <w:szCs w:val="20"/>
        </w:rPr>
        <w:t>HARQ</w:t>
      </w:r>
      <w:r w:rsidR="00D47EF6">
        <w:rPr>
          <w:szCs w:val="20"/>
        </w:rPr>
        <w:t xml:space="preserve"> operation in IoT over NTN</w:t>
      </w:r>
      <w:r w:rsidR="00931816">
        <w:rPr>
          <w:szCs w:val="20"/>
        </w:rPr>
        <w:t>, including increas</w:t>
      </w:r>
      <w:r w:rsidR="00D47EF6">
        <w:rPr>
          <w:szCs w:val="20"/>
        </w:rPr>
        <w:t>ing</w:t>
      </w:r>
      <w:r w:rsidR="00931816">
        <w:rPr>
          <w:szCs w:val="20"/>
        </w:rPr>
        <w:t xml:space="preserve"> HARQ process number and disabling HARQ feedback</w:t>
      </w:r>
      <w:r w:rsidR="00815CE8">
        <w:rPr>
          <w:szCs w:val="20"/>
        </w:rPr>
        <w:t>.</w:t>
      </w:r>
    </w:p>
    <w:p w14:paraId="5DDEAC37" w14:textId="2D00145F" w:rsidR="00A8781E" w:rsidRDefault="00EA5A5B" w:rsidP="00A8781E">
      <w:pPr>
        <w:pStyle w:val="Heading1"/>
      </w:pPr>
      <w:r>
        <w:t>Discussion</w:t>
      </w:r>
    </w:p>
    <w:p w14:paraId="7ED9D1F7" w14:textId="28FC6ABA" w:rsidR="00931816" w:rsidRDefault="00931816" w:rsidP="00931816">
      <w:pPr>
        <w:jc w:val="both"/>
        <w:rPr>
          <w:bCs/>
          <w:iCs/>
        </w:rPr>
      </w:pPr>
      <w:r>
        <w:rPr>
          <w:bCs/>
          <w:iCs/>
        </w:rPr>
        <w:t>In NR release 16 terrestrial network, the maximum number of downlink or uplink HARQ processes is 16. The maximum number of downlink or uplink HARQ processes is 32 in NR over NTN</w:t>
      </w:r>
      <w:r w:rsidR="00BD446D">
        <w:rPr>
          <w:bCs/>
          <w:iCs/>
        </w:rPr>
        <w:t xml:space="preserve"> </w:t>
      </w:r>
      <w:r w:rsidR="00BD446D">
        <w:rPr>
          <w:bCs/>
          <w:iCs/>
        </w:rPr>
        <w:fldChar w:fldCharType="begin"/>
      </w:r>
      <w:r w:rsidR="00BD446D">
        <w:rPr>
          <w:bCs/>
          <w:iCs/>
        </w:rPr>
        <w:instrText xml:space="preserve"> REF _Ref49784738 \r \h </w:instrText>
      </w:r>
      <w:r w:rsidR="00BD446D">
        <w:rPr>
          <w:bCs/>
          <w:iCs/>
        </w:rPr>
      </w:r>
      <w:r w:rsidR="00BD446D">
        <w:rPr>
          <w:bCs/>
          <w:iCs/>
        </w:rPr>
        <w:fldChar w:fldCharType="separate"/>
      </w:r>
      <w:r w:rsidR="00BD446D">
        <w:rPr>
          <w:bCs/>
          <w:iCs/>
        </w:rPr>
        <w:t>[3]</w:t>
      </w:r>
      <w:r w:rsidR="00BD446D">
        <w:rPr>
          <w:bCs/>
          <w:iCs/>
        </w:rPr>
        <w:fldChar w:fldCharType="end"/>
      </w:r>
      <w:r>
        <w:rPr>
          <w:bCs/>
          <w:iCs/>
        </w:rPr>
        <w:t>. This increased number of HARQ processes could avoid the HARQ stalling in NTN due to the large propagation delay</w:t>
      </w:r>
      <w:r w:rsidR="003C42F6">
        <w:rPr>
          <w:bCs/>
          <w:iCs/>
        </w:rPr>
        <w:t xml:space="preserve">, hence achieving a higher date rate. </w:t>
      </w:r>
    </w:p>
    <w:p w14:paraId="40C3AB20" w14:textId="4CC76381" w:rsidR="00931816" w:rsidRDefault="00931816" w:rsidP="00A8781E">
      <w:pPr>
        <w:rPr>
          <w:bCs/>
          <w:iCs/>
        </w:rPr>
      </w:pPr>
    </w:p>
    <w:p w14:paraId="7892A21B" w14:textId="0DCA0A68" w:rsidR="003C42F6" w:rsidRDefault="003C42F6" w:rsidP="005F47C3">
      <w:pPr>
        <w:jc w:val="both"/>
        <w:rPr>
          <w:bCs/>
          <w:iCs/>
        </w:rPr>
      </w:pPr>
      <w:r>
        <w:rPr>
          <w:bCs/>
          <w:iCs/>
        </w:rPr>
        <w:t xml:space="preserve">The data rate is not the critical KPI for IoT. For example, the maximum downlink data rate is 127 kbps for NB-IoT and 4 Mbps for </w:t>
      </w:r>
      <w:proofErr w:type="spellStart"/>
      <w:r>
        <w:rPr>
          <w:bCs/>
          <w:iCs/>
        </w:rPr>
        <w:t>eMTC</w:t>
      </w:r>
      <w:proofErr w:type="spellEnd"/>
      <w:r>
        <w:rPr>
          <w:bCs/>
          <w:iCs/>
        </w:rPr>
        <w:t xml:space="preserve">. Subsequently, the maximum number of HARQ processes in an IoT device is limited. For example, up to </w:t>
      </w:r>
      <w:r w:rsidR="005F47C3">
        <w:rPr>
          <w:bCs/>
          <w:iCs/>
        </w:rPr>
        <w:t xml:space="preserve">2 </w:t>
      </w:r>
      <w:r w:rsidR="00D47EF6">
        <w:rPr>
          <w:bCs/>
          <w:iCs/>
        </w:rPr>
        <w:t>downlink</w:t>
      </w:r>
      <w:r w:rsidR="005F47C3">
        <w:rPr>
          <w:bCs/>
          <w:iCs/>
        </w:rPr>
        <w:t xml:space="preserve"> or </w:t>
      </w:r>
      <w:r w:rsidR="00D47EF6">
        <w:rPr>
          <w:bCs/>
          <w:iCs/>
        </w:rPr>
        <w:t xml:space="preserve">uplink </w:t>
      </w:r>
      <w:r w:rsidR="005F47C3">
        <w:rPr>
          <w:bCs/>
          <w:iCs/>
        </w:rPr>
        <w:t>HARQ process</w:t>
      </w:r>
      <w:r w:rsidR="00931816">
        <w:rPr>
          <w:bCs/>
          <w:iCs/>
        </w:rPr>
        <w:t>es are su</w:t>
      </w:r>
      <w:r>
        <w:rPr>
          <w:bCs/>
          <w:iCs/>
        </w:rPr>
        <w:t>pported in NB-IoT. The increase of HARQ process</w:t>
      </w:r>
      <w:r w:rsidR="00D47EF6">
        <w:rPr>
          <w:bCs/>
          <w:iCs/>
        </w:rPr>
        <w:t xml:space="preserve"> number</w:t>
      </w:r>
      <w:r>
        <w:rPr>
          <w:bCs/>
          <w:iCs/>
        </w:rPr>
        <w:t xml:space="preserve"> </w:t>
      </w:r>
      <w:r w:rsidR="00D47EF6">
        <w:rPr>
          <w:bCs/>
          <w:iCs/>
        </w:rPr>
        <w:t xml:space="preserve">leads to </w:t>
      </w:r>
      <w:r w:rsidR="00CC2A38">
        <w:rPr>
          <w:bCs/>
          <w:iCs/>
        </w:rPr>
        <w:t xml:space="preserve">a </w:t>
      </w:r>
      <w:r w:rsidR="00D47EF6">
        <w:rPr>
          <w:bCs/>
          <w:iCs/>
        </w:rPr>
        <w:t>higher</w:t>
      </w:r>
      <w:r>
        <w:rPr>
          <w:bCs/>
          <w:iCs/>
        </w:rPr>
        <w:t xml:space="preserve"> device cost, which is not preferrable for IoT devices. </w:t>
      </w:r>
      <w:r w:rsidR="00CC2A38">
        <w:rPr>
          <w:bCs/>
          <w:iCs/>
        </w:rPr>
        <w:t>On the other hand, t</w:t>
      </w:r>
      <w:r>
        <w:rPr>
          <w:bCs/>
          <w:iCs/>
        </w:rPr>
        <w:t xml:space="preserve">he stalling of HARQ process in NTN due to large propagation delay is tolerant, considering the low data rate requirements for IoT. Hence, we have the following proposal. </w:t>
      </w:r>
    </w:p>
    <w:p w14:paraId="406BEDBD" w14:textId="77777777" w:rsidR="003C42F6" w:rsidRDefault="003C42F6" w:rsidP="005F47C3">
      <w:pPr>
        <w:jc w:val="both"/>
        <w:rPr>
          <w:bCs/>
          <w:iCs/>
        </w:rPr>
      </w:pPr>
    </w:p>
    <w:p w14:paraId="477020C2" w14:textId="194C1970" w:rsidR="005F47C3" w:rsidRDefault="005F47C3" w:rsidP="003C42F6">
      <w:pPr>
        <w:jc w:val="both"/>
        <w:rPr>
          <w:i/>
        </w:rPr>
      </w:pPr>
      <w:r w:rsidRPr="005F47C3">
        <w:rPr>
          <w:b/>
          <w:i/>
          <w:u w:val="single"/>
        </w:rPr>
        <w:t>Proposal 1:</w:t>
      </w:r>
      <w:r w:rsidRPr="005F47C3">
        <w:rPr>
          <w:i/>
        </w:rPr>
        <w:t xml:space="preserve"> </w:t>
      </w:r>
      <w:r w:rsidR="00D47EF6">
        <w:rPr>
          <w:i/>
        </w:rPr>
        <w:t xml:space="preserve">The number of </w:t>
      </w:r>
      <w:r>
        <w:rPr>
          <w:i/>
        </w:rPr>
        <w:t>HARQ process</w:t>
      </w:r>
      <w:r w:rsidR="00D47EF6">
        <w:rPr>
          <w:i/>
        </w:rPr>
        <w:t>es</w:t>
      </w:r>
      <w:r>
        <w:rPr>
          <w:i/>
        </w:rPr>
        <w:t xml:space="preserve"> is not increased in IoT over NTN.</w:t>
      </w:r>
    </w:p>
    <w:p w14:paraId="09BE7CDB" w14:textId="06CA4AF5" w:rsidR="003C42F6" w:rsidRDefault="003C42F6" w:rsidP="00A8781E">
      <w:pPr>
        <w:rPr>
          <w:iCs/>
        </w:rPr>
      </w:pPr>
    </w:p>
    <w:p w14:paraId="7F51745F" w14:textId="1AFDF560" w:rsidR="0061580E" w:rsidRDefault="003C42F6" w:rsidP="000B57BE">
      <w:pPr>
        <w:jc w:val="both"/>
        <w:rPr>
          <w:iCs/>
        </w:rPr>
      </w:pPr>
      <w:r>
        <w:rPr>
          <w:iCs/>
        </w:rPr>
        <w:t>In NR over NTN,</w:t>
      </w:r>
      <w:r w:rsidR="000B57BE">
        <w:rPr>
          <w:iCs/>
        </w:rPr>
        <w:t xml:space="preserve"> it is supported that enabling/disabling on HARQ feedback for downlink transmission is configurable per HARQ process via UE specific RRC signaling</w:t>
      </w:r>
      <w:r w:rsidR="00BD446D">
        <w:rPr>
          <w:iCs/>
        </w:rPr>
        <w:t xml:space="preserve"> </w:t>
      </w:r>
      <w:r w:rsidR="00BD446D">
        <w:rPr>
          <w:iCs/>
        </w:rPr>
        <w:fldChar w:fldCharType="begin"/>
      </w:r>
      <w:r w:rsidR="00BD446D">
        <w:rPr>
          <w:iCs/>
        </w:rPr>
        <w:instrText xml:space="preserve"> REF _Ref60650788 \r \h </w:instrText>
      </w:r>
      <w:r w:rsidR="00BD446D">
        <w:rPr>
          <w:iCs/>
        </w:rPr>
      </w:r>
      <w:r w:rsidR="00BD446D">
        <w:rPr>
          <w:iCs/>
        </w:rPr>
        <w:fldChar w:fldCharType="separate"/>
      </w:r>
      <w:r w:rsidR="00BD446D">
        <w:rPr>
          <w:iCs/>
        </w:rPr>
        <w:t>[4]</w:t>
      </w:r>
      <w:r w:rsidR="00BD446D">
        <w:rPr>
          <w:iCs/>
        </w:rPr>
        <w:fldChar w:fldCharType="end"/>
      </w:r>
      <w:r w:rsidR="000B57BE">
        <w:rPr>
          <w:iCs/>
        </w:rPr>
        <w:t>. The disabling of HARQ feedback allows the prompt release of HARQ soft buffer to facilitate the reception of new data. This is a way to address the HARQ stalling in NTN due to the large propagation delay. The disabling o</w:t>
      </w:r>
      <w:r w:rsidR="00CC2A38">
        <w:rPr>
          <w:iCs/>
        </w:rPr>
        <w:t>f</w:t>
      </w:r>
      <w:r w:rsidR="000B57BE">
        <w:rPr>
          <w:iCs/>
        </w:rPr>
        <w:t xml:space="preserve"> HARQ feedback may increase data rate, at the cost of reduced reliability and increased latency. To achieve the balance between data rate, reliability and latency, we think</w:t>
      </w:r>
      <w:r w:rsidR="00CC2A38">
        <w:rPr>
          <w:iCs/>
        </w:rPr>
        <w:t xml:space="preserve"> RAN1 could consider</w:t>
      </w:r>
      <w:r w:rsidR="002F19D1">
        <w:rPr>
          <w:iCs/>
        </w:rPr>
        <w:t xml:space="preserve"> </w:t>
      </w:r>
      <w:r w:rsidR="000B57BE">
        <w:rPr>
          <w:iCs/>
        </w:rPr>
        <w:t>disabl</w:t>
      </w:r>
      <w:r w:rsidR="00CC2A38">
        <w:rPr>
          <w:iCs/>
        </w:rPr>
        <w:t>ing</w:t>
      </w:r>
      <w:r w:rsidR="002F19D1">
        <w:rPr>
          <w:iCs/>
        </w:rPr>
        <w:t xml:space="preserve"> </w:t>
      </w:r>
      <w:r w:rsidR="000B57BE">
        <w:rPr>
          <w:iCs/>
        </w:rPr>
        <w:t>HARQ feedback for downlink transmission</w:t>
      </w:r>
      <w:r w:rsidR="002F19D1">
        <w:rPr>
          <w:iCs/>
        </w:rPr>
        <w:t xml:space="preserve">s in IoT over NTN. Like in NR over NTN, the disabling of HARQ feedback </w:t>
      </w:r>
      <w:r w:rsidR="00D47EF6">
        <w:rPr>
          <w:iCs/>
        </w:rPr>
        <w:t>should be</w:t>
      </w:r>
      <w:r w:rsidR="000B57BE">
        <w:rPr>
          <w:iCs/>
        </w:rPr>
        <w:t xml:space="preserve"> configurable per HARQ process </w:t>
      </w:r>
      <w:r w:rsidR="002F19D1">
        <w:rPr>
          <w:iCs/>
        </w:rPr>
        <w:t xml:space="preserve">via UE specific RRC signaling </w:t>
      </w:r>
      <w:r w:rsidR="000B57BE">
        <w:rPr>
          <w:iCs/>
        </w:rPr>
        <w:t>in IoT over NTN.</w:t>
      </w:r>
    </w:p>
    <w:p w14:paraId="70A52AA5" w14:textId="77777777" w:rsidR="0061580E" w:rsidRPr="005F47C3" w:rsidRDefault="0061580E" w:rsidP="00A8781E">
      <w:pPr>
        <w:rPr>
          <w:iCs/>
        </w:rPr>
      </w:pPr>
    </w:p>
    <w:p w14:paraId="08A604A3" w14:textId="6E3532CF" w:rsidR="005F47C3" w:rsidRDefault="005F47C3" w:rsidP="005F47C3">
      <w:pPr>
        <w:jc w:val="both"/>
        <w:rPr>
          <w:i/>
        </w:rPr>
      </w:pPr>
      <w:r w:rsidRPr="005F47C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5F47C3">
        <w:rPr>
          <w:b/>
          <w:i/>
          <w:u w:val="single"/>
        </w:rPr>
        <w:t>:</w:t>
      </w:r>
      <w:r w:rsidRPr="005F47C3">
        <w:rPr>
          <w:i/>
        </w:rPr>
        <w:t xml:space="preserve"> </w:t>
      </w:r>
      <w:r w:rsidR="002F19D1">
        <w:rPr>
          <w:i/>
        </w:rPr>
        <w:t>RAN1 to consider d</w:t>
      </w:r>
      <w:r>
        <w:rPr>
          <w:i/>
        </w:rPr>
        <w:t>isabling HARQ feedback for downlink transmissions</w:t>
      </w:r>
      <w:r w:rsidR="002F19D1">
        <w:rPr>
          <w:i/>
        </w:rPr>
        <w:t>, which</w:t>
      </w:r>
      <w:r>
        <w:rPr>
          <w:i/>
        </w:rPr>
        <w:t xml:space="preserve"> is configurable per HARQ process via UE specific RRC signaling.</w:t>
      </w:r>
    </w:p>
    <w:p w14:paraId="55A783BE" w14:textId="77777777" w:rsidR="00A8781E" w:rsidRPr="00A8781E" w:rsidRDefault="00A8781E" w:rsidP="00A8781E"/>
    <w:p w14:paraId="32662686" w14:textId="77777777" w:rsidR="00DE52EE" w:rsidRPr="00DE52EE" w:rsidRDefault="00DE52EE" w:rsidP="00163AAA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388206EF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BD446D">
        <w:rPr>
          <w:szCs w:val="20"/>
        </w:rPr>
        <w:t>HARQ</w:t>
      </w:r>
      <w:r w:rsidR="009C0798">
        <w:rPr>
          <w:szCs w:val="20"/>
        </w:rPr>
        <w:t xml:space="preserve"> </w:t>
      </w:r>
      <w:r w:rsidR="00D47EF6">
        <w:rPr>
          <w:szCs w:val="20"/>
        </w:rPr>
        <w:t>operations</w:t>
      </w:r>
      <w:r w:rsidR="009C0798">
        <w:rPr>
          <w:szCs w:val="20"/>
        </w:rPr>
        <w:t xml:space="preserve"> for </w:t>
      </w:r>
      <w:r w:rsidR="00DE52EE">
        <w:rPr>
          <w:szCs w:val="20"/>
        </w:rPr>
        <w:t xml:space="preserve">IoT </w:t>
      </w:r>
      <w:r w:rsidR="00AD4007">
        <w:rPr>
          <w:szCs w:val="20"/>
        </w:rPr>
        <w:t xml:space="preserve">over </w:t>
      </w:r>
      <w:r w:rsidR="009C0798">
        <w:rPr>
          <w:szCs w:val="20"/>
        </w:rPr>
        <w:t xml:space="preserve">NTN. </w:t>
      </w:r>
      <w:r w:rsidR="009C0798">
        <w:t xml:space="preserve">Our proposals are as follows: </w:t>
      </w:r>
    </w:p>
    <w:p w14:paraId="0A0F9A1B" w14:textId="77777777" w:rsidR="00BD446D" w:rsidRDefault="00BD446D" w:rsidP="009C0798">
      <w:pPr>
        <w:jc w:val="both"/>
      </w:pPr>
    </w:p>
    <w:p w14:paraId="277FC40D" w14:textId="5B197CFF" w:rsidR="005B5115" w:rsidRDefault="00D47EF6" w:rsidP="005B5115">
      <w:pPr>
        <w:jc w:val="both"/>
        <w:rPr>
          <w:i/>
        </w:rPr>
      </w:pPr>
      <w:r w:rsidRPr="005F47C3">
        <w:rPr>
          <w:b/>
          <w:i/>
          <w:u w:val="single"/>
        </w:rPr>
        <w:t>Proposal 1:</w:t>
      </w:r>
      <w:r w:rsidRPr="005F47C3">
        <w:rPr>
          <w:i/>
        </w:rPr>
        <w:t xml:space="preserve"> </w:t>
      </w:r>
      <w:r>
        <w:rPr>
          <w:i/>
        </w:rPr>
        <w:t>The number of HARQ processes is not increased in IoT over NTN.</w:t>
      </w:r>
    </w:p>
    <w:p w14:paraId="7BDD222B" w14:textId="77777777" w:rsidR="00D47EF6" w:rsidRDefault="00D47EF6" w:rsidP="005B5115">
      <w:pPr>
        <w:jc w:val="both"/>
        <w:rPr>
          <w:iCs/>
        </w:rPr>
      </w:pPr>
    </w:p>
    <w:p w14:paraId="57D16EF1" w14:textId="6531DB9E" w:rsidR="002F19D1" w:rsidRDefault="002F19D1" w:rsidP="002F19D1">
      <w:pPr>
        <w:jc w:val="both"/>
        <w:rPr>
          <w:i/>
        </w:rPr>
      </w:pPr>
      <w:r w:rsidRPr="005F47C3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5F47C3">
        <w:rPr>
          <w:b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RAN1 to consider disabling HARQ feedback for downlink transmissions, which is configurable per HARQ process via UE specific RRC signaling. </w:t>
      </w:r>
    </w:p>
    <w:p w14:paraId="7392DF77" w14:textId="77777777" w:rsidR="00BD446D" w:rsidRPr="00FD4C3F" w:rsidRDefault="00BD446D" w:rsidP="00B42176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449C24B" w14:textId="50AA66EC" w:rsidR="00407950" w:rsidRDefault="00407950" w:rsidP="0040795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46861923"/>
      <w:bookmarkStart w:id="1" w:name="_Ref30519541"/>
      <w:bookmarkStart w:id="2" w:name="_Ref30499280"/>
      <w:r>
        <w:t>RP-20</w:t>
      </w:r>
      <w:r w:rsidR="00F94D45">
        <w:t>2</w:t>
      </w:r>
      <w:r w:rsidR="00815CE8">
        <w:t>689</w:t>
      </w:r>
      <w:r>
        <w:t xml:space="preserve">, </w:t>
      </w:r>
      <w:r w:rsidR="005542E6">
        <w:t>“</w:t>
      </w:r>
      <w:r w:rsidR="00815CE8">
        <w:t>New study WID on NB-IoT/</w:t>
      </w:r>
      <w:proofErr w:type="spellStart"/>
      <w:r w:rsidR="00815CE8">
        <w:t>eMTC</w:t>
      </w:r>
      <w:proofErr w:type="spellEnd"/>
      <w:r w:rsidR="00815CE8">
        <w:t xml:space="preserve"> support for NTN</w:t>
      </w:r>
      <w:r>
        <w:t>,</w:t>
      </w:r>
      <w:r w:rsidR="005542E6">
        <w:t>”</w:t>
      </w:r>
      <w:r>
        <w:t xml:space="preserve"> </w:t>
      </w:r>
      <w:r w:rsidR="00F94D45">
        <w:t>Dec</w:t>
      </w:r>
      <w:r>
        <w:t>. 2020.</w:t>
      </w:r>
      <w:bookmarkEnd w:id="0"/>
      <w:r>
        <w:t xml:space="preserve"> </w:t>
      </w:r>
    </w:p>
    <w:p w14:paraId="3C5CB47C" w14:textId="259B1C09" w:rsidR="00FD4C3F" w:rsidRDefault="00815CE8" w:rsidP="00BD4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53646739"/>
      <w:bookmarkEnd w:id="1"/>
      <w:bookmarkEnd w:id="2"/>
      <w:r>
        <w:t>3GPP TR 38.821, Solution for NR to support non terrestrial networks (NTN), v. 16.2.0, Dec. 2019.</w:t>
      </w:r>
      <w:bookmarkEnd w:id="3"/>
    </w:p>
    <w:p w14:paraId="4A8F51B2" w14:textId="7697198A" w:rsidR="00BD446D" w:rsidRDefault="00BD446D" w:rsidP="00BD4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49784738"/>
      <w:r>
        <w:t>Chairman’s Notes, 3GPP TSG RAN1 WG1 #103-e Meeting, Nov. 2020.</w:t>
      </w:r>
      <w:bookmarkEnd w:id="4"/>
    </w:p>
    <w:p w14:paraId="12D06BCD" w14:textId="5672D534" w:rsidR="00BD446D" w:rsidRDefault="00BD446D" w:rsidP="00BD4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60650788"/>
      <w:r>
        <w:t>Chairman’s Notes, 3GPP TSG RAN1 WG1 #102-e Meeting, Aug. 2020.</w:t>
      </w:r>
      <w:bookmarkEnd w:id="5"/>
    </w:p>
    <w:p w14:paraId="1DBBB746" w14:textId="77777777" w:rsidR="00BD446D" w:rsidRPr="00175F67" w:rsidRDefault="00BD446D" w:rsidP="00BD446D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sectPr w:rsidR="00BD446D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29F0C" w14:textId="77777777" w:rsidR="009B1AC1" w:rsidRDefault="009B1AC1">
      <w:r>
        <w:separator/>
      </w:r>
    </w:p>
  </w:endnote>
  <w:endnote w:type="continuationSeparator" w:id="0">
    <w:p w14:paraId="1CEBD85B" w14:textId="77777777" w:rsidR="009B1AC1" w:rsidRDefault="009B1AC1">
      <w:r>
        <w:continuationSeparator/>
      </w:r>
    </w:p>
  </w:endnote>
  <w:endnote w:type="continuationNotice" w:id="1">
    <w:p w14:paraId="5BB3060E" w14:textId="77777777" w:rsidR="009B1AC1" w:rsidRDefault="009B1A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D4630" w14:textId="77777777" w:rsidR="009B1AC1" w:rsidRDefault="009B1AC1">
      <w:r>
        <w:separator/>
      </w:r>
    </w:p>
  </w:footnote>
  <w:footnote w:type="continuationSeparator" w:id="0">
    <w:p w14:paraId="005FBB3A" w14:textId="77777777" w:rsidR="009B1AC1" w:rsidRDefault="009B1AC1">
      <w:r>
        <w:continuationSeparator/>
      </w:r>
    </w:p>
  </w:footnote>
  <w:footnote w:type="continuationNotice" w:id="1">
    <w:p w14:paraId="1903F58C" w14:textId="77777777" w:rsidR="009B1AC1" w:rsidRDefault="009B1A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7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20"/>
  </w:num>
  <w:num w:numId="10">
    <w:abstractNumId w:val="0"/>
  </w:num>
  <w:num w:numId="11">
    <w:abstractNumId w:val="26"/>
  </w:num>
  <w:num w:numId="12">
    <w:abstractNumId w:val="5"/>
  </w:num>
  <w:num w:numId="13">
    <w:abstractNumId w:val="22"/>
  </w:num>
  <w:num w:numId="14">
    <w:abstractNumId w:val="16"/>
  </w:num>
  <w:num w:numId="15">
    <w:abstractNumId w:val="29"/>
  </w:num>
  <w:num w:numId="16">
    <w:abstractNumId w:val="32"/>
  </w:num>
  <w:num w:numId="17">
    <w:abstractNumId w:val="10"/>
  </w:num>
  <w:num w:numId="18">
    <w:abstractNumId w:val="25"/>
  </w:num>
  <w:num w:numId="19">
    <w:abstractNumId w:val="13"/>
  </w:num>
  <w:num w:numId="20">
    <w:abstractNumId w:val="9"/>
  </w:num>
  <w:num w:numId="21">
    <w:abstractNumId w:val="21"/>
  </w:num>
  <w:num w:numId="22">
    <w:abstractNumId w:val="6"/>
  </w:num>
  <w:num w:numId="23">
    <w:abstractNumId w:val="19"/>
  </w:num>
  <w:num w:numId="24">
    <w:abstractNumId w:val="3"/>
  </w:num>
  <w:num w:numId="25">
    <w:abstractNumId w:val="7"/>
  </w:num>
  <w:num w:numId="26">
    <w:abstractNumId w:val="30"/>
  </w:num>
  <w:num w:numId="27">
    <w:abstractNumId w:val="2"/>
  </w:num>
  <w:num w:numId="28">
    <w:abstractNumId w:val="8"/>
  </w:num>
  <w:num w:numId="29">
    <w:abstractNumId w:val="28"/>
  </w:num>
  <w:num w:numId="30">
    <w:abstractNumId w:val="4"/>
  </w:num>
  <w:num w:numId="31">
    <w:abstractNumId w:val="24"/>
  </w:num>
  <w:num w:numId="32">
    <w:abstractNumId w:val="31"/>
  </w:num>
  <w:num w:numId="33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7BE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9D1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BA5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7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2F6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0B67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2E6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C3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580E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0E16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6145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816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AC1"/>
    <w:rsid w:val="009B1D7F"/>
    <w:rsid w:val="009B1E4E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007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46D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A38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EF6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67ECE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68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2021-01-15T21:47:00Z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